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5-Day Victoria Falls &amp; Chobe Safari - Luxury - NETT</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a46586b-4c02-4493-9e34-445878d902a6"/>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f251f9a-66d2-4b50-82ad-91eb3d02c564"/>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5-Day Victoria Falls &amp; Chobe Safari - Luxury - NETT</w:t>
      </w:r>
    </w:p>
    <w:p>
      <w:pPr>
        <w:jc w:val="center"/>
      </w:pPr>
      <w:r>
        <w:rPr>
          <w:i/>
        </w:rPr>
        <w:t>Victoria Falls (Zimbabwe) - Chobe River Front</w:t>
      </w:r>
      <w:r>
        <w:br/>
      </w:r>
      <w:r>
        <w:rPr>
          <w:i/>
        </w:rPr>
        <w:t>5 Days / 4 Nights</w:t>
      </w:r>
      <w:r>
        <w:br/>
      </w:r>
      <w:r>
        <w:br/>
      </w:r>
      <w:r>
        <w:rPr>
          <w:i/>
        </w:rPr>
        <w:t>Date of Issue: 14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eee589990a5c4ad8">
        <w:proofErr w:type="gramStart"/>
        <w:r>
          <w:rPr>
            <w:rStyle w:val="Hyperlink"/>
          </w:rPr>
          <w:t xml:space="preserve">Click here to view your Digital Itinerary</w:t>
        </w:r>
      </w:hyperlink>
    </w:p>
    <w:p>
      <w:r>
        <w:br w:type="page"/>
      </w:r>
    </w:p>
    <w:p>
      <w:pPr>
        <w:pStyle w:val="Heading2"/>
      </w:pPr>
      <w:r>
        <w:rPr/>
        <w:t xml:space="preserve">Introduction</w:t>
      </w:r>
    </w:p>
    <w:p>
      <w:r>
        <w:t xml:space="preserve">The five-day Victoria Falls &amp; Chobe Safari is an excellent way to visit both Zimbabwe for Victoria Falls and cross the border into Botswana for Chobe National Park.</w:t>
      </w:r>
    </w:p>
    <w:p>
      <w:r>
        <w:t xml:space="preserve">A chance to view the incredible Victoria Falls and enjoy any of the many activities on offer from here whether you are looking to take a helicopter flight over the falls or enjoy an adrenaline activity. There’s plenty to do here and loads to choose from. Then you’re off to Chobe National Park, which offers you incredible game viewing and a chance to view some of the largest herds of elephants from up close on game drives and boat cruises on the Chobe River.</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b46c7f71b9ec4859">
              <w:proofErr w:type="gramStart"/>
              <w:r>
                <w:rPr>
                  <w:rStyle w:val="Hyperlink"/>
                </w:rPr>
                <w:t xml:space="preserve">Palm River Hotel</w:t>
              </w:r>
            </w:hyperlink>
          </w:p>
        </w:tc>
        <w:tc>
          <w:p>
            <w:pPr>
              <w:jc w:val="left"/>
            </w:pPr>
            <w:r>
              <w:rPr/>
              <w:t xml:space="preserve">Victoria Falls (Zimbabwe)</w:t>
            </w:r>
          </w:p>
        </w:tc>
        <w:tc>
          <w:p>
            <w:pPr>
              <w:jc w:val="left"/>
            </w:pPr>
            <w:r>
              <w:rPr/>
              <w:t xml:space="preserve">B&amp;B</w:t>
            </w:r>
          </w:p>
        </w:tc>
        <w:tc>
          <w:p>
            <w:pPr>
              <w:jc w:val="left"/>
            </w:pPr>
            <w:r>
              <w:rPr>
                <w:b/>
              </w:rPr>
              <w:t>2 Nights</w:t>
            </w:r>
          </w:p>
        </w:tc>
      </w:tr>
      <w:tr>
        <w:tc>
          <w:tcPr/>
          <w:p>
            <w:pPr>
              <w:jc w:val="left"/>
            </w:pPr>
            <w:hyperlink w:history="true" r:id="Rc0ddca1a09574aae">
              <w:proofErr w:type="gramStart"/>
              <w:r>
                <w:rPr>
                  <w:rStyle w:val="Hyperlink"/>
                </w:rPr>
                <w:t xml:space="preserve">Chobe Game Lodge</w:t>
              </w:r>
            </w:hyperlink>
          </w:p>
        </w:tc>
        <w:tc>
          <w:p>
            <w:pPr>
              <w:jc w:val="left"/>
            </w:pPr>
            <w:r>
              <w:rPr/>
              <w:t xml:space="preserve">Chobe River Front</w:t>
            </w:r>
          </w:p>
        </w:tc>
        <w:tc>
          <w:p>
            <w:pPr>
              <w:jc w:val="left"/>
            </w:pPr>
            <w:r>
              <w:rPr/>
              <w:t xml:space="preserve">FI</w:t>
            </w:r>
          </w:p>
        </w:tc>
        <w:tc>
          <w:p>
            <w:pPr>
              <w:jc w:val="left"/>
            </w:pPr>
            <w:r>
              <w:rPr>
                <w:b/>
              </w:rPr>
              <w:t>2 Nights</w:t>
            </w:r>
          </w:p>
        </w:tc>
      </w:tr>
    </w:tbl>
    <w:p>
      <w:pPr>
        <w:pStyle w:val="HorizontalRule"/>
      </w:pPr>
      <w:r/>
    </w:p>
    <w:p>
      <w:pPr>
        <w:pStyle w:val="SmallNormal"/>
      </w:pPr>
      <w:r>
        <w:rPr>
          <w:b/>
        </w:rPr>
        <w:t>Key</w:t>
      </w:r>
      <w:r>
        <w:br/>
      </w:r>
      <w:r>
        <w:t>B&amp;B: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NETT STO COSTS</w:t>
      </w:r>
    </w:p>
    <w:p>
      <w:r>
        <w:rPr>
          <w:b w:val="true"/>
          <w:i w:val="false"/>
        </w:rPr>
        <w:t xml:space="preserve">1st December 2022 – 31st December 2022 </w:t>
      </w:r>
      <w:r>
        <w:br/>
      </w:r>
      <w:r>
        <w:t xml:space="preserve">2 or more guests - USD 1690 per person sharing</w:t>
      </w:r>
    </w:p>
    <w:p>
      <w:r>
        <w:t xml:space="preserve">Single supplement - USD 205</w:t>
      </w:r>
      <w:r>
        <w:br/>
      </w:r>
      <w:r>
        <w:br/>
      </w:r>
      <w:r>
        <w:rPr>
          <w:b w:val="true"/>
          <w:i w:val="false"/>
        </w:rPr>
        <w:t xml:space="preserve">1st January 2023 – 31st March 2023 </w:t>
      </w:r>
      <w:r>
        <w:br/>
      </w:r>
      <w:r>
        <w:t xml:space="preserve">2 or more guests - USD 1770 per person sharing</w:t>
      </w:r>
    </w:p>
    <w:p>
      <w:r>
        <w:t xml:space="preserve">Single supplement - USD 225</w:t>
      </w:r>
    </w:p>
    <w:p>
      <w:r>
        <w:rPr>
          <w:b w:val="true"/>
          <w:i w:val="false"/>
        </w:rPr>
        <w:t xml:space="preserve">1st April 2023 – 30th June 2023 </w:t>
      </w:r>
    </w:p>
    <w:p>
      <w:r>
        <w:t xml:space="preserve">2 or more guests - USD 2320 per person sharing</w:t>
      </w:r>
    </w:p>
    <w:p>
      <w:r>
        <w:t xml:space="preserve">Single supplement - USD 225</w:t>
      </w:r>
    </w:p>
    <w:p>
      <w:r>
        <w:rPr>
          <w:b w:val="true"/>
          <w:i w:val="false"/>
        </w:rPr>
        <w:t xml:space="preserve">1st July 2023 – 31st October 2023</w:t>
      </w:r>
    </w:p>
    <w:p>
      <w:r>
        <w:t xml:space="preserve">2 or more guests - USD 2610 per person sharing</w:t>
      </w:r>
    </w:p>
    <w:p>
      <w:r>
        <w:t xml:space="preserve">Single supplement - USD 860</w:t>
      </w:r>
    </w:p>
    <w:p>
      <w:r>
        <w:rPr>
          <w:b w:val="true"/>
          <w:i w:val="false"/>
        </w:rPr>
        <w:t xml:space="preserve">1st November 2023 – 30th November 2023</w:t>
      </w:r>
    </w:p>
    <w:p>
      <w:r>
        <w:t xml:space="preserve">2 or more guests - USD 2320 per person sharing</w:t>
      </w:r>
    </w:p>
    <w:p>
      <w:r>
        <w:t xml:space="preserve">Single supplement - USD 225</w:t>
      </w:r>
    </w:p>
    <w:p>
      <w:r>
        <w:rPr>
          <w:b w:val="true"/>
          <w:i w:val="false"/>
        </w:rPr>
        <w:t xml:space="preserve">1st December 2023 – 31st December 2023</w:t>
      </w:r>
    </w:p>
    <w:p>
      <w:r>
        <w:t xml:space="preserve">2 or more guests - USD 1770 per person sharing</w:t>
      </w:r>
    </w:p>
    <w:p>
      <w:r>
        <w:t xml:space="preserve">Single supplement - USD 225</w:t>
      </w:r>
    </w:p>
    <w:p>
      <w:r>
        <w:t xml:space="preserve"> </w:t>
      </w:r>
    </w:p>
    <w:p>
      <w:r>
        <w:t xml:space="preserve">Itinerary runs one-way VFA – BBK on a seat rate basis. Surcharge to finish in Victoria Falls: USD 68 per person (one way)</w:t>
      </w:r>
    </w:p>
    <w:p>
      <w:r>
        <w:t xml:space="preserve">** Rates are subject to change</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Activities as indicated</w:t>
      </w:r>
    </w:p>
    <w:p>
      <w:pPr>
        <w:pStyle w:val="ListParagraph"/>
        <w:numPr>
          <w:ilvl w:val="0"/>
          <w:numId w:val="1"/>
        </w:numPr>
      </w:pPr>
      <w:r>
        <w:t xml:space="preserve">Shared &amp; private road transfers as mentioned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 (for optional extra activities in Victoria Falls)</w:t>
      </w:r>
    </w:p>
    <w:p>
      <w:pPr>
        <w:pStyle w:val="ListParagraph"/>
        <w:numPr>
          <w:ilvl w:val="0"/>
          <w:numId w:val="1"/>
        </w:numPr>
      </w:pPr>
      <w:r>
        <w:t xml:space="preserve">Visas and visa applications</w:t>
      </w:r>
    </w:p>
    <w:p>
      <w:r>
        <w:br w:type="page"/>
      </w:r>
    </w:p>
    <w:p>
      <w:pPr>
        <w:pStyle w:val="Heading2"/>
      </w:pPr>
      <w:r>
        <w:t xml:space="preserve">Day 1-3: </w:t>
        <w:tab/>
        <w:t xml:space="preserve">Palm River Hotel, Victoria Falls (Zimbabwe) </w:t>
        <w:tab/>
        <w:t/>
      </w:r>
    </w:p>
    <w:p>
      <w:pPr>
        <w:pStyle w:val="HorizontalRule"/>
      </w:pPr>
      <w:r/>
    </w:p>
    <w:p>
      <w:pPr>
        <w:pStyle w:val="Heading3"/>
      </w:pPr>
      <w:r>
        <w:rPr/>
        <w:t xml:space="preserve">Victoria Falls (Zimbabwe)</w:t>
      </w:r>
    </w:p>
    <w:p>
      <w:r>
        <w:t xml:space="preserve">A gazillion tonnes of water thundering over a sheer cliff drowns all other sounds. The swirling mist hides all sign of human activity. Beyond your rain forest sanctuary people are hurling themselves off bridges, across gorges, into walls of raging water and out of aircraft.</w:t>
      </w:r>
    </w:p>
    <w:p>
      <w:r>
        <w:t xml:space="preserve">Victoria Falls is a paradox of tranquil beauty and exciting adventure.</w:t>
      </w:r>
    </w:p>
    <w:p>
      <w:r>
        <w:rPr>
          <w:b w:val="false"/>
          <w:i w:val="true"/>
        </w:rPr>
        <w:t xml:space="preserve">Mosi-oa-Tunya</w:t>
      </w:r>
      <w:r>
        <w:t xml:space="preserve">, </w:t>
      </w:r>
      <w:r>
        <w:rPr>
          <w:b w:val="true"/>
          <w:i w:val="false"/>
        </w:rPr>
        <w:t xml:space="preserve">'The Smoke that Thunders'</w:t>
      </w:r>
      <w:r>
        <w:t xml:space="preserve"> is undoubtedly Zimbabwe's finest and most well-known attraction. It is or rather was (if you're keeping up with the latest list) one of the </w:t>
      </w:r>
      <w:r>
        <w:rPr>
          <w:b w:val="true"/>
          <w:i w:val="false"/>
        </w:rPr>
        <w:t xml:space="preserve">Seven World Wonders</w:t>
      </w:r>
      <w:r>
        <w:t xml:space="preserve">. We still believe it deserves the title. It truly is spectacular and not considered to be one of the </w:t>
      </w:r>
      <w:r>
        <w:rPr>
          <w:b w:val="true"/>
          <w:i w:val="false"/>
        </w:rPr>
        <w:t xml:space="preserve">world's largest waterfalls</w:t>
      </w:r>
      <w:r>
        <w:t xml:space="preserve"> without good reason. It's not the widest or the highest , yet it is considered to the largest based on it's combined width, at </w:t>
      </w:r>
      <w:r>
        <w:rPr>
          <w:b w:val="true"/>
          <w:i w:val="false"/>
        </w:rPr>
        <w:t xml:space="preserve">1,708 metres</w:t>
      </w:r>
      <w:r>
        <w:t xml:space="preserve"> wide and height, at </w:t>
      </w:r>
      <w:r>
        <w:rPr>
          <w:b w:val="true"/>
          <w:i w:val="false"/>
        </w:rPr>
        <w:t xml:space="preserve">108 metres</w:t>
      </w:r>
      <w:r>
        <w:t xml:space="preserve">. Impressively it takes the title for the largest sheet of falling water.</w:t>
      </w:r>
    </w:p>
    <w:p>
      <w:pPr>
        <w:pStyle w:val="HorizontalRuleLight"/>
      </w:pPr>
      <w:r/>
    </w:p>
    <w:p>
      <w:pPr>
        <w:pStyle w:val="Heading3"/>
      </w:pPr>
      <w:r>
        <w:rPr/>
        <w:t xml:space="preserve">Day Itinerary</w:t>
      </w:r>
    </w:p>
    <w:p>
      <w:pPr>
        <w:pStyle w:val="ListParagraph"/>
        <w:numPr>
          <w:ilvl w:val="0"/>
          <w:numId w:val="1"/>
        </w:numPr>
      </w:pPr>
      <w:r>
        <w:t xml:space="preserve">Airport transfer from Victoria Falls Airport on arrival to your hotel in town.</w:t>
      </w:r>
    </w:p>
    <w:p>
      <w:pPr>
        <w:pStyle w:val="ListParagraph"/>
        <w:numPr>
          <w:ilvl w:val="0"/>
          <w:numId w:val="1"/>
        </w:numPr>
      </w:pPr>
      <w:r>
        <w:t xml:space="preserve">Airport Transfer Time: 30 minutes from Victoria Falls Airport</w:t>
      </w:r>
    </w:p>
    <w:p>
      <w:pPr>
        <w:pStyle w:val="ListParagraph"/>
        <w:numPr>
          <w:ilvl w:val="0"/>
          <w:numId w:val="1"/>
        </w:numPr>
      </w:pPr>
      <w:r>
        <w:t xml:space="preserve">Visit to Victoria Falls this afternoon (if time allows), either on your own or arrange to go with a guide</w:t>
      </w:r>
    </w:p>
    <w:p>
      <w:pPr>
        <w:pStyle w:val="ListParagraph"/>
        <w:numPr>
          <w:ilvl w:val="0"/>
          <w:numId w:val="1"/>
        </w:numPr>
      </w:pPr>
      <w:r>
        <w:t xml:space="preserve">Recommended is a sunset Zambezi boat cruise to end the day (optional extra) or look to dine at The Boma Restaurant for a taste of the African flavours, action, music and atmosphere</w:t>
      </w:r>
    </w:p>
    <w:p>
      <w:pPr>
        <w:pStyle w:val="ListParagraph"/>
        <w:numPr>
          <w:ilvl w:val="0"/>
          <w:numId w:val="1"/>
        </w:numPr>
      </w:pPr>
      <w:r>
        <w:t xml:space="preserve">1 full day is set aside to enjoy any of the many activities on offer</w:t>
      </w:r>
    </w:p>
    <w:p>
      <w:pPr>
        <w:pStyle w:val="Heading3"/>
      </w:pPr>
      <w:r>
        <w:t xml:space="preserve">Overnight: Palm River Hotel </w:t>
        <w:tab/>
      </w:r>
      <w:hyperlink w:history="true" r:id="Rb46c7f71b9ec4859">
        <w:proofErr w:type="gramStart"/>
        <w:r>
          <w:rPr>
            <w:rStyle w:val="Hyperlink"/>
          </w:rPr>
          <w:t xml:space="preserve">View iBrochure</w:t>
        </w:r>
      </w:hyperlink>
    </w:p>
    <w:p>
      <w:r>
        <w:t xml:space="preserve">The Palm River Hotel is truly magnificent from the architecture to the furnishings to the manicured gardens. It’s really quite something. The setting is idyllic and peaceful on the Zambezi River and just 4km from Victoria Falls. On a clear and quiet day you’ll even see the spray and hear the falls thunder.</w:t>
      </w:r>
    </w:p>
    <w:p>
      <w:r>
        <w:t xml:space="preserve">It’s all new and modern with a colonial architectural air about it. It’s a hotel that is more than easy on the eye. It’s quite the marvel actually yet it’s also functional and well suited to the scene and surrounding nature.</w:t>
      </w:r>
    </w:p>
    <w:p>
      <w:r>
        <w:t xml:space="preserve">It bridges the line between contemporary and timeless so elegantly, both in the main living areas and in the rooms, whether a deluxe room or suite and even through to the villa. Nestled in the treetops the honeymoon suites are spectacular with the indulgent balconies and starlit outdoor shower. Take it up a notch and go presidential and if you really want to up the ante, book the Palm River Villa.</w:t>
      </w:r>
    </w:p>
    <w:p>
      <w:r>
        <w:t xml:space="preserve">Dine beneath a canopy of trees, there’s a future forward café bar and of course there’s an afternoon riverside tea to delight.</w:t>
      </w:r>
    </w:p>
    <w:p>
      <w:r>
        <w:t xml:space="preserve">You’re well based here to explore the Falls, Victoria Falls town and all the other many activities on offer and when you’re ready to simply relax, there’s a luxurious spa to top it all. It almost seems too good to be true, but this place is real and the stay is well worth it. In this case, seeing is believing. You’ll see.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682d0a5-0b34-4624-b298-3adf84435293"/>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46b741b-ccf3-4b98-bad9-05907288a43a"/>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pPr>
        <w:pStyle w:val="Heading3"/>
      </w:pPr>
      <w:r>
        <w:rPr/>
        <w:t xml:space="preserve">Included</w:t>
      </w:r>
    </w:p>
    <w:p>
      <w:pPr>
        <w:pStyle w:val="ListParagraph"/>
        <w:numPr>
          <w:ilvl w:val="0"/>
          <w:numId w:val="1"/>
        </w:numPr>
      </w:pPr>
      <w:r>
        <w:t xml:space="preserve">Bed &amp; breakfast</w:t>
      </w:r>
    </w:p>
    <w:p>
      <w:pPr>
        <w:pStyle w:val="HorizontalRuleLight"/>
      </w:pPr>
      <w:r/>
    </w:p>
    <w:p>
      <w:pPr>
        <w:pStyle w:val="Heading3"/>
      </w:pPr>
      <w:r>
        <w:rPr/>
        <w:t xml:space="preserve">Excluded</w:t>
      </w:r>
    </w:p>
    <w:p>
      <w:pPr>
        <w:pStyle w:val="ListParagraph"/>
        <w:numPr>
          <w:ilvl w:val="0"/>
          <w:numId w:val="1"/>
        </w:numPr>
      </w:pPr>
      <w:r>
        <w:t xml:space="preserve">Drinks, additional meals, activities, additional transfers &amp; laundry</w:t>
      </w:r>
    </w:p>
    <w:p>
      <w:pPr>
        <w:pStyle w:val="HorizontalRuleLight"/>
      </w:pPr>
      <w:r/>
    </w:p>
    <w:p>
      <w:r>
        <w:br w:type="page"/>
      </w:r>
    </w:p>
    <w:p>
      <w:pPr>
        <w:pStyle w:val="Heading2"/>
      </w:pPr>
      <w:r>
        <w:t xml:space="preserve">Day 3-5: </w:t>
        <w:tab/>
        <w:t xml:space="preserve">Chobe Game Lodge, Chobe River Front </w:t>
        <w:tab/>
        <w:t/>
      </w:r>
    </w:p>
    <w:p>
      <w:pPr>
        <w:pStyle w:val="HorizontalRule"/>
      </w:pPr>
      <w:r/>
    </w:p>
    <w:p>
      <w:pPr>
        <w:pStyle w:val="Heading3"/>
      </w:pPr>
      <w:r>
        <w:rPr/>
        <w:t xml:space="preserve">Chobe River Front</w:t>
      </w:r>
    </w:p>
    <w:p>
      <w:r>
        <w:t xml:space="preserve">The Chobe River forms the northern boundary of the Chobe National Park which is renowned for its diverse and abundant game viewing opportunities. This section of the park is best known for its dense concentration of wildlife, including elephant and hippo populations, but the waters attract all manner of game including large herds of buffalo and the lions that prey on them - a visit to the Chobe River Front guarantees close encounters with an array of African wildlife. Visitors can look forward to a range of exciting activities such as 4WD along the banks; motorboat cruises; and rare birdlife spotting. For a unique, luxury safari experience, hire a houseboat.</w:t>
      </w:r>
    </w:p>
    <w:p>
      <w:pPr>
        <w:pStyle w:val="HorizontalRuleLight"/>
      </w:pPr>
      <w:r/>
    </w:p>
    <w:p>
      <w:pPr>
        <w:pStyle w:val="Heading3"/>
      </w:pPr>
      <w:r>
        <w:rPr/>
        <w:t xml:space="preserve">Day Itinerary</w:t>
      </w:r>
    </w:p>
    <w:p>
      <w:pPr>
        <w:pStyle w:val="ListParagraph"/>
        <w:numPr>
          <w:ilvl w:val="0"/>
          <w:numId w:val="1"/>
        </w:numPr>
      </w:pPr>
      <w:r>
        <w:t xml:space="preserve">After breakfast, and a last morning activity in Victoria Falls (if time allows), you will be collected from the hotel and transferred across the border into Botswana. Your driver will assist with the border crossing which is an experience in itself</w:t>
      </w:r>
    </w:p>
    <w:p>
      <w:pPr>
        <w:pStyle w:val="ListParagraph"/>
        <w:numPr>
          <w:ilvl w:val="0"/>
          <w:numId w:val="1"/>
        </w:numPr>
      </w:pPr>
      <w:r>
        <w:t xml:space="preserve">Check in at the lodge and enjoy your activities as included</w:t>
      </w:r>
    </w:p>
    <w:p>
      <w:pPr>
        <w:pStyle w:val="ListParagraph"/>
        <w:numPr>
          <w:ilvl w:val="0"/>
          <w:numId w:val="1"/>
        </w:numPr>
      </w:pPr>
      <w:r>
        <w:t xml:space="preserve">A chance to see large herds of elephants from up close and plenty other wildlife from an open safari vehicle and the river</w:t>
      </w:r>
    </w:p>
    <w:p>
      <w:pPr>
        <w:pStyle w:val="ListParagraph"/>
        <w:numPr>
          <w:ilvl w:val="0"/>
          <w:numId w:val="1"/>
        </w:numPr>
      </w:pPr>
      <w:r>
        <w:t xml:space="preserve">This property is located within the Chobe National Park, providing the prime bush location for exploring the Chobe Riverfront. The location inside the park gives guests the advantage of a head start on vehicle traffic entering the Riverfront from Kasane for activities, and therefore a more exclusive Chobe safari.</w:t>
      </w:r>
    </w:p>
    <w:p>
      <w:r>
        <w:rPr>
          <w:b w:val="true"/>
          <w:i w:val="false"/>
        </w:rPr>
        <w:t xml:space="preserve">Activities: </w:t>
      </w:r>
      <w:r>
        <w:t xml:space="preserve">game drives and boating</w:t>
      </w:r>
    </w:p>
    <w:p>
      <w:r>
        <w:t xml:space="preserve"> </w:t>
      </w:r>
    </w:p>
    <w:p>
      <w:pPr>
        <w:pStyle w:val="Heading3"/>
      </w:pPr>
      <w:r>
        <w:t xml:space="preserve">Overnight: Chobe Game Lodge </w:t>
        <w:tab/>
      </w:r>
      <w:hyperlink w:history="true" r:id="Rc0ddca1a09574aae">
        <w:proofErr w:type="gramStart"/>
        <w:r>
          <w:rPr>
            <w:rStyle w:val="Hyperlink"/>
          </w:rPr>
          <w:t xml:space="preserve">View iBrochure</w:t>
        </w:r>
      </w:hyperlink>
    </w:p>
    <w:p>
      <w:r>
        <w:t xml:space="preserve">Chobe Game Lodge is a rough-clad vaulted maze of courtyards, passages and verandahs that face the Chobe River and its great flood plain.</w:t>
      </w:r>
    </w:p>
    <w:p>
      <w:r>
        <w:t xml:space="preserve">The 44 rooms have barrel-vaulted ceilings and high archways that frame a delightful view of the river. All rooms have air conditioning, ceiling fans, complimentary mini bars and private terraces with river views.</w:t>
      </w:r>
    </w:p>
    <w:p>
      <w:r>
        <w:t xml:space="preserve">Dining is either a high table bonanza on the river-facing terrace or a sumptuous buffet on the lawn beneath an ancient mahogany tree. The food is a Westerner's introduction to local ingredients and the wine list features some of South Africa's regular offerings.</w:t>
      </w:r>
    </w:p>
    <w:p>
      <w:r>
        <w:t xml:space="preserve">One of the only lodges inside the Chobe National Park, you are on your game drive or boat cruise long before anyone else. In fact, by the time anyone else has ventured where you've already been, you are back at the lodge relaxing and enjoying a spa treatment.</w:t>
      </w:r>
    </w:p>
    <w:p>
      <w:r>
        <w:t xml:space="preserve">As if you need any further selling on this superb safari lodge, most of the game drive vehicles and all of the boats are electric, which, apart from the obvious environmental benefit, means minimal noise so your sightings are a true bush experience. Something else for the win, the staff and all guides are female, which makes for a different experience compared to most safari lodges.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4500871-adff-484e-bd74-d948c40792c3"/>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3ff502f-a357-4898-ae03-0cc42b33a3f5"/>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
</w:t>
      </w:r>
      <w:br w:type="textWrapping"/>
      <w:r>
        <w:rPr/>
        <w:t xml:space="preserve">All Local Brands (excl Spirits) Included</w:t>
      </w:r>
    </w:p>
    <w:p>
      <w:pPr>
        <w:pStyle w:val="HorizontalRuleLight"/>
      </w:pPr>
      <w:r/>
    </w:p>
    <w:p>
      <w:pPr>
        <w:pStyle w:val="Heading3"/>
      </w:pPr>
      <w:r>
        <w:rPr/>
        <w:t xml:space="preserve">Included</w:t>
      </w:r>
    </w:p>
    <w:p>
      <w:pPr>
        <w:pStyle w:val="ListParagraph"/>
        <w:numPr>
          <w:ilvl w:val="0"/>
          <w:numId w:val="1"/>
        </w:numPr>
      </w:pPr>
      <w:r>
        <w:t xml:space="preserve">Meals, local drinks, activities, park fees, laundry &amp; intermittent WiFi</w:t>
      </w:r>
    </w:p>
    <w:p>
      <w:pPr>
        <w:pStyle w:val="HorizontalRuleLight"/>
      </w:pPr>
      <w:r/>
    </w:p>
    <w:p>
      <w:pPr>
        <w:pStyle w:val="Heading3"/>
      </w:pPr>
      <w:r>
        <w:rPr/>
        <w:t xml:space="preserve">Excluded</w:t>
      </w:r>
    </w:p>
    <w:p>
      <w:pPr>
        <w:pStyle w:val="ListParagraph"/>
        <w:numPr>
          <w:ilvl w:val="0"/>
          <w:numId w:val="1"/>
        </w:numPr>
      </w:pPr>
      <w:r>
        <w:t xml:space="preserve">Premium imported wines, champagnes &amp; spirits</w:t>
      </w:r>
    </w:p>
    <w:p>
      <w:pPr>
        <w:pStyle w:val="HorizontalRuleLight"/>
      </w:pPr>
      <w:r/>
    </w:p>
    <w:p>
      <w:r>
        <w:br w:type="page"/>
      </w:r>
    </w:p>
    <w:p>
      <w:pPr>
        <w:pStyle w:val="Heading2"/>
      </w:pPr>
      <w:r>
        <w:t xml:space="preserve">Day 5: </w:t>
        <w:tab/>
        <w:t xml:space="preserve">End of Itinerary </w:t>
        <w:tab/>
        <w:t/>
      </w:r>
    </w:p>
    <w:p>
      <w:pPr>
        <w:pStyle w:val="HorizontalRule"/>
      </w:pPr>
      <w:r/>
    </w:p>
    <w:p>
      <w:pPr>
        <w:pStyle w:val="Heading3"/>
      </w:pPr>
      <w:r>
        <w:rPr/>
        <w:t xml:space="preserve">Day Itinerary</w:t>
      </w:r>
    </w:p>
    <w:p>
      <w:pPr>
        <w:pStyle w:val="ListParagraph"/>
        <w:numPr>
          <w:ilvl w:val="0"/>
          <w:numId w:val="1"/>
        </w:numPr>
      </w:pPr>
      <w:r>
        <w:t xml:space="preserve">After a morning activity (depending on the time of transfer and departure flight) you will be transferred to Kasane Airport where your tour ends</w:t>
      </w:r>
    </w:p>
    <w:p>
      <w:pPr>
        <w:pStyle w:val="ListParagraph"/>
        <w:numPr>
          <w:ilvl w:val="0"/>
          <w:numId w:val="1"/>
        </w:numPr>
      </w:pPr>
      <w:r>
        <w:t xml:space="preserve">Airport Transfer Time: 30 minutes to Kasane Airport</w:t>
      </w:r>
    </w:p>
    <w:p>
      <w:pPr>
        <w:pStyle w:val="ListParagraph"/>
        <w:numPr>
          <w:ilvl w:val="0"/>
          <w:numId w:val="1"/>
        </w:numPr>
      </w:pPr>
      <w:r>
        <w:t xml:space="preserve">End of services           </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Victoria Falls International Airport [VFA]</w:t>
            </w:r>
          </w:p>
        </w:tc>
        <w:tc>
          <w:p>
            <w:pPr>
              <w:jc w:val="left"/>
            </w:pPr>
            <w:r>
              <w:rPr/>
              <w:t xml:space="preserve">Palm River Hotel</w:t>
            </w:r>
          </w:p>
        </w:tc>
        <w:tc>
          <w:p>
            <w:pPr>
              <w:jc w:val="center"/>
            </w:pPr>
            <w:r>
              <w:t/>
            </w:r>
          </w:p>
        </w:tc>
        <w:tc>
          <w:p>
            <w:pPr>
              <w:jc w:val="left"/>
            </w:pPr>
            <w:r>
              <w:rPr/>
              <w:t xml:space="preserve">Transfer</w:t>
            </w:r>
          </w:p>
        </w:tc>
      </w:tr>
      <w:tr>
        <w:tc>
          <w:p>
            <w:pPr>
              <w:jc w:val="left"/>
            </w:pPr>
          </w:p>
        </w:tc>
        <w:tc>
          <w:p>
            <w:pPr>
              <w:jc w:val="left"/>
            </w:pPr>
          </w:p>
        </w:tc>
        <w:tc>
          <w:p>
            <w:pPr>
              <w:jc w:val="left"/>
            </w:pPr>
            <w:r>
              <w:rPr/>
              <w:t xml:space="preserve">Palm River Hotel</w:t>
            </w:r>
          </w:p>
        </w:tc>
        <w:tc>
          <w:p>
            <w:pPr>
              <w:jc w:val="left"/>
            </w:pPr>
            <w:r>
              <w:rPr/>
              <w:t xml:space="preserve">Chobe Game Lodge</w:t>
            </w:r>
          </w:p>
        </w:tc>
        <w:tc>
          <w:p>
            <w:pPr>
              <w:jc w:val="center"/>
            </w:pPr>
            <w:r>
              <w:t/>
            </w:r>
          </w:p>
        </w:tc>
        <w:tc>
          <w:p>
            <w:pPr>
              <w:jc w:val="left"/>
            </w:pPr>
            <w:r>
              <w:rPr/>
              <w:t xml:space="preserve">Transfer</w:t>
            </w:r>
          </w:p>
        </w:tc>
      </w:tr>
      <w:tr>
        <w:tc>
          <w:p>
            <w:pPr>
              <w:jc w:val="left"/>
            </w:pPr>
          </w:p>
        </w:tc>
        <w:tc>
          <w:p>
            <w:pPr>
              <w:jc w:val="left"/>
            </w:pPr>
          </w:p>
        </w:tc>
        <w:tc>
          <w:p>
            <w:pPr>
              <w:jc w:val="left"/>
            </w:pPr>
            <w:r>
              <w:rPr/>
              <w:t xml:space="preserve">Chobe Game Lodge</w:t>
            </w:r>
          </w:p>
        </w:tc>
        <w:tc>
          <w:p>
            <w:pPr>
              <w:jc w:val="left"/>
            </w:pPr>
            <w:r>
              <w:rPr/>
              <w:t xml:space="preserve">Kasane Airport [BBK]</w:t>
            </w:r>
          </w:p>
        </w:tc>
        <w:tc>
          <w:p>
            <w:pPr>
              <w:jc w:val="center"/>
            </w:pPr>
            <w:r>
              <w:t/>
            </w:r>
          </w:p>
        </w:tc>
        <w:tc>
          <w:p>
            <w:pPr>
              <w:jc w:val="left"/>
            </w:pPr>
            <w:r>
              <w:rPr/>
              <w:t xml:space="preserve">Transfer</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Chobe Game Lodge</w:t>
            </w:r>
          </w:p>
        </w:tc>
        <w:tc>
          <w:p>
            <w:pPr>
              <w:jc w:val="left"/>
            </w:pPr>
          </w:p>
        </w:tc>
        <w:tc>
          <w:p>
            <w:pPr>
              <w:jc w:val="left"/>
            </w:pPr>
            <w:r>
              <w:rPr/>
              <w:t xml:space="preserve">+267 625 0340</w:t>
            </w:r>
          </w:p>
        </w:tc>
        <w:tc>
          <w:p>
            <w:pPr>
              <w:jc w:val="left"/>
            </w:pPr>
            <w:r>
              <w:rPr/>
              <w:t xml:space="preserve">Chobe National Park, 
</w:t>
            </w:r>
            <w:br w:type="textWrapping"/>
            <w:r>
              <w:rPr/>
              <w:t xml:space="preserve">Serondela, 
</w:t>
            </w:r>
            <w:br w:type="textWrapping"/>
            <w:r>
              <w:rPr/>
              <w:t xml:space="preserve">Botswana</w:t>
            </w:r>
          </w:p>
        </w:tc>
      </w:tr>
      <w:tr>
        <w:tc>
          <w:p>
            <w:pPr>
              <w:jc w:val="left"/>
            </w:pPr>
            <w:r>
              <w:rPr/>
              <w:t xml:space="preserve">Palm River Hotel</w:t>
            </w:r>
          </w:p>
        </w:tc>
        <w:tc>
          <w:p>
            <w:pPr>
              <w:jc w:val="left"/>
            </w:pPr>
          </w:p>
        </w:tc>
        <w:tc>
          <w:p>
            <w:pPr>
              <w:jc w:val="left"/>
            </w:pPr>
            <w:r>
              <w:rPr/>
              <w:t xml:space="preserve">+263832844737</w:t>
            </w:r>
          </w:p>
        </w:tc>
        <w:tc>
          <w:p>
            <w:pPr>
              <w:jc w:val="left"/>
            </w:pPr>
            <w:r>
              <w:rPr/>
              <w:t xml:space="preserve">Stand 1403 Parkway Drive, Victoria Falls, Zimbabwe
</w:t>
            </w: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5a46586b-4c02-4493-9e34-445878d902a6" /><Relationship Type="http://schemas.openxmlformats.org/officeDocument/2006/relationships/image" Target="/media/image4.bin" Id="Image_ef251f9a-66d2-4b50-82ad-91eb3d02c564" /><Relationship Type="http://schemas.openxmlformats.org/officeDocument/2006/relationships/image" Target="/media/image5.bin" Id="MapView" /><Relationship Type="http://schemas.openxmlformats.org/officeDocument/2006/relationships/hyperlink" Target="https://wetu.com/Itinerary/Landing/036b1d9d-2969-4641-8945-b376c247cde0" TargetMode="External" Id="Reee589990a5c4ad8" /><Relationship Type="http://schemas.openxmlformats.org/officeDocument/2006/relationships/hyperlink" Target="https://wetu.com/iBrochure/35503_256100" TargetMode="External" Id="Rb46c7f71b9ec4859" /><Relationship Type="http://schemas.openxmlformats.org/officeDocument/2006/relationships/hyperlink" Target="https://wetu.com/iBrochure/35503_9828" TargetMode="External" Id="Rc0ddca1a09574aae" /><Relationship Type="http://schemas.openxmlformats.org/officeDocument/2006/relationships/image" Target="/media/image6.bin" Id="Image_6682d0a5-0b34-4624-b298-3adf84435293" /><Relationship Type="http://schemas.openxmlformats.org/officeDocument/2006/relationships/image" Target="/media/image7.bin" Id="Image_446b741b-ccf3-4b98-bad9-05907288a43a" /><Relationship Type="http://schemas.openxmlformats.org/officeDocument/2006/relationships/image" Target="/media/image8.bin" Id="Image_14500871-adff-484e-bd74-d948c40792c3" /><Relationship Type="http://schemas.openxmlformats.org/officeDocument/2006/relationships/image" Target="/media/image9.bin" Id="Image_43ff502f-a357-4898-ae03-0cc42b33a3f5"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